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CRITÉRIOS UTILIZADOS NA AVALIAÇÃO DE MÉRITO CULTURAL</w:t>
      </w: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120" w:before="120" w:line="240" w:lineRule="auto"/>
        <w:ind w:right="1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avaliação dos projetos será realizada mediante atribuição de notas aos critérios de seleção, conforme descrição a seguir: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Grau pleno de atendimento do critério - 10 pontos;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Grau satisfatório de atendimento do critério – 6 pontos; 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Grau insatisfatório de atendimento do critério – 2 pontos; 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Não atendimento do critério – 0 pontos.</w:t>
      </w:r>
    </w:p>
    <w:tbl>
      <w:tblPr>
        <w:tblStyle w:val="Table2"/>
        <w:tblW w:w="8374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74"/>
        <w:tblGridChange w:id="0">
          <w:tblGrid>
            <w:gridCol w:w="83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tbl>
      <w:tblPr>
        <w:tblStyle w:val="Table3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592"/>
        <w:gridCol w:w="3943"/>
        <w:gridCol w:w="2953"/>
        <w:tblGridChange w:id="0">
          <w:tblGrid>
            <w:gridCol w:w="1592"/>
            <w:gridCol w:w="3943"/>
            <w:gridCol w:w="295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CRITÉRIOS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Identificação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Qualidade do Projeto - Coerência do objeto, objetivos, justificativa e metas do projeto -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análise deverá considerar, para fins de avaliação e valoração, se o conteúdo do projeto apresenta, como um todo, coerência, observando o objeto, a justificativa e as metas, sendo possível visualizar de forma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evidente os resultados que serão obtidos.</w:t>
            </w:r>
          </w:p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Relevância da ação proposta para o cenário cultural do Municipio  -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análise deverá considerar, para fins de avaliação e valoração, se a ação contribui para o enriquecimento e valorização da cultura do municipio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Aspectos de integração comunitária na ação proposta pelo projeto -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econômica/social.</w:t>
            </w:r>
          </w:p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Coerência da planilha orçamentária e do cronograma de execução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nas metas, resultados e desdobramentos do projeto proposto -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análise deverá avaliar e valorar a viabilidade técnica do projeto sob o ponto de vista dos gastos previstos na planilha orçamentária, sua execução e a adequação ao objeto, metas e objetivos previstos. Também deverá ser considerada, para fins de avaliação, a coerência e conformidade dos valores e quantidades dos itens relacionados na planilha orçamentária do projeto.</w:t>
            </w:r>
          </w:p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Coerência do Plano de Divulgação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 Cronograma, Objetivos e Metas do projeto proposto -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análise deverá avaliar e valorar a viabilidade técnica e comunicacional com o público alvo do projeto, mediante as estratégias, mídias e materiais apresentados, bem como a capacidade de executá-los.</w:t>
            </w:r>
          </w:p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Compatibilidade da ficha técnica com as atividades desenvolvidas -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análise deverá considerar a carreira dos profissionais que compõem o corpo técnico e artístico, verificando a coerência ou não em relação às atribuições que serão executadas por eles no projeto (para esta avaliação serão considerados os currículos dos membros da ficha técnica).</w:t>
            </w:r>
          </w:p>
          <w:p w:rsidR="00000000" w:rsidDel="00000000" w:rsidP="00000000" w:rsidRDefault="00000000" w:rsidRPr="00000000" w14:paraId="00000027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Trajetória artística e cultural do proponente -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Será considerada,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fins de análise, a carreira do proponente, com base no currículo e comprovações enviadas juntamente com a proposta.</w:t>
            </w:r>
          </w:p>
          <w:p w:rsidR="00000000" w:rsidDel="00000000" w:rsidP="00000000" w:rsidRDefault="00000000" w:rsidRPr="00000000" w14:paraId="0000002B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PONTUAÇÃO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 PONTOS</w:t>
            </w:r>
          </w:p>
        </w:tc>
      </w:tr>
    </w:tbl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Além da pontuação acima, o proponente pode receber bônus de pontuação, ou seja, uma pontuação extra, conforme critérios abaixo especificados: </w:t>
      </w:r>
    </w:p>
    <w:tbl>
      <w:tblPr>
        <w:tblStyle w:val="Table4"/>
        <w:tblW w:w="9026.0" w:type="dxa"/>
        <w:jc w:val="left"/>
        <w:tblLayout w:type="fixed"/>
        <w:tblLook w:val="0400"/>
      </w:tblPr>
      <w:tblGrid>
        <w:gridCol w:w="1717"/>
        <w:gridCol w:w="3442"/>
        <w:gridCol w:w="3867"/>
        <w:tblGridChange w:id="0">
          <w:tblGrid>
            <w:gridCol w:w="1717"/>
            <w:gridCol w:w="3442"/>
            <w:gridCol w:w="386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PONTUAÇÃO BÔNUS PARA PROPONENTES PESSOAS FÍSICAS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Agentes culturais do gênero feminino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Agentes culturais negros e indígenas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Agentes culturais com deficiência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Agentes culturais residentes em comunidades rurais, tradicionais  e distritos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Agentes culturais LGBTQIAPN+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hd w:fill="ffffff" w:val="clear"/>
              <w:spacing w:after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PONTOS</w:t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pontuação final de cada candidatura será soma de cada item.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critérios gerais são eliminatórios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 de modo que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 o agente cultural que receber pontuação 0 em algum dos critérios será desclassificado do Edital.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bônus de pontuação são cumulativos e não constituem critérios obrigatórios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 de modo que a pontuação 0 em algum dos pontos bônus não desclassifica o agente cultural.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caso de empate, serão utilizados para fins de classificação dos projetos a maior nota nos critérios de acordo com a ordem abaixo definida: A, B, C, D, E, F, G, respectivamente. 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Serão considerados aptos os projetos que receberem nota final igual ou superior a 40 pontos.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Serão desclassificados os projetos que: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416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receberam nota 0 em qualquer dos critérios obrigatórios;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416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apresentem quaisquer formas de preconceito de origem, raça, etnia, gênero, cor, idade ou outras formas de discriminação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, com fundamento no disposto no 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inciso IV do caput do art. 3º da Constituição,</w:t>
        </w:r>
      </w:hyperlink>
      <w:r w:rsidDel="00000000" w:rsidR="00000000" w:rsidRPr="00000000">
        <w:rPr>
          <w:sz w:val="24"/>
          <w:szCs w:val="24"/>
          <w:rtl w:val="0"/>
        </w:rPr>
        <w:t xml:space="preserve"> garantidos o contraditório e a ampla defesa.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falsidade de informações acarretará desclassificação, podendo ensejar, ainda, a aplicação de sanções administrativas ou criminais.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-756283</wp:posOffset>
          </wp:positionH>
          <wp:positionV relativeFrom="paragraph">
            <wp:posOffset>-114298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lanalto.gov.br/ccivil_03/Constituicao/Constituicao.htm#art3iv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pFdjGBCipATvbfXSus/QUyyaAA==">CgMxLjA4AHIhMTU0V2ZpbWNtUDZEZEZidkZ1dUpoNWhiZ2tOTUg4WE5i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>MediaServiceImageTags</vt:lpwstr>
  </property>
</Properties>
</file>